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 w:firstLineChars="100"/>
        <w:rPr>
          <w:rFonts w:hint="eastAsia" w:ascii="方正小标宋简体" w:eastAsia="方正小标宋简体"/>
          <w:spacing w:val="60"/>
          <w:sz w:val="42"/>
        </w:rPr>
      </w:pPr>
      <w:bookmarkStart w:id="0" w:name="_GoBack"/>
      <w:bookmarkEnd w:id="0"/>
    </w:p>
    <w:p>
      <w:pPr>
        <w:ind w:firstLine="540" w:firstLineChars="100"/>
        <w:rPr>
          <w:rFonts w:ascii="方正小标宋简体" w:eastAsia="方正小标宋简体"/>
          <w:spacing w:val="60"/>
          <w:sz w:val="42"/>
        </w:rPr>
      </w:pPr>
      <w:r>
        <w:rPr>
          <w:rFonts w:hint="eastAsia" w:ascii="方正小标宋简体" w:eastAsia="方正小标宋简体"/>
          <w:spacing w:val="60"/>
          <w:sz w:val="42"/>
        </w:rPr>
        <w:t>第五部分</w:t>
      </w:r>
    </w:p>
    <w:p>
      <w:pPr>
        <w:jc w:val="center"/>
        <w:rPr>
          <w:rFonts w:ascii="方正小标宋简体" w:eastAsia="方正小标宋简体"/>
          <w:spacing w:val="60"/>
          <w:sz w:val="42"/>
        </w:rPr>
      </w:pPr>
    </w:p>
    <w:p>
      <w:pPr>
        <w:jc w:val="center"/>
        <w:rPr>
          <w:rFonts w:ascii="方正小标宋简体" w:eastAsia="方正小标宋简体"/>
          <w:spacing w:val="60"/>
          <w:sz w:val="42"/>
        </w:rPr>
      </w:pPr>
    </w:p>
    <w:p>
      <w:pPr>
        <w:jc w:val="center"/>
        <w:rPr>
          <w:rFonts w:ascii="方正小标宋简体" w:eastAsia="方正小标宋简体"/>
          <w:spacing w:val="60"/>
          <w:sz w:val="48"/>
        </w:rPr>
      </w:pPr>
      <w:r>
        <w:rPr>
          <w:rFonts w:hint="eastAsia" w:ascii="方正小标宋简体" w:eastAsia="方正小标宋简体"/>
          <w:spacing w:val="60"/>
          <w:sz w:val="48"/>
        </w:rPr>
        <w:t xml:space="preserve">  附  件</w:t>
      </w:r>
    </w:p>
    <w:p>
      <w:pPr>
        <w:tabs>
          <w:tab w:val="left" w:pos="5891"/>
        </w:tabs>
        <w:spacing w:line="580" w:lineRule="exact"/>
        <w:rPr>
          <w:szCs w:val="32"/>
        </w:rPr>
        <w:sectPr>
          <w:headerReference r:id="rId3" w:type="default"/>
          <w:footerReference r:id="rId4" w:type="default"/>
          <w:pgSz w:w="11906" w:h="16838"/>
          <w:pgMar w:top="2098" w:right="1418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1"/>
        <w:tblpPr w:leftFromText="180" w:rightFromText="180" w:vertAnchor="text" w:horzAnchor="page" w:tblpX="2027" w:tblpY="259"/>
        <w:tblOverlap w:val="never"/>
        <w:tblW w:w="131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"/>
        <w:gridCol w:w="5686"/>
        <w:gridCol w:w="3056"/>
        <w:gridCol w:w="1783"/>
        <w:gridCol w:w="321"/>
        <w:gridCol w:w="1233"/>
        <w:gridCol w:w="2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3189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2019年度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济宁市人民代表大会常务委员会办公室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预算项目绩效自评情况汇总表</w:t>
            </w: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513" w:type="dxa"/>
          <w:trHeight w:val="483" w:hRule="atLeast"/>
        </w:trPr>
        <w:tc>
          <w:tcPr>
            <w:tcW w:w="830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686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56" w:type="dxa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0" w:type="dxa"/>
          <w:trHeight w:val="319" w:hRule="atLeast"/>
        </w:trPr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68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05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资金使用单位</w:t>
            </w: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自评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5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自评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等级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0" w:type="dxa"/>
          <w:trHeight w:val="513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8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0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0" w:type="dxa"/>
          <w:trHeight w:val="319" w:hRule="atLeast"/>
        </w:trPr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568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305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0" w:type="dxa"/>
          <w:trHeight w:val="444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县市区人大专项补助经费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济宁市人大常委会办公室</w:t>
            </w:r>
          </w:p>
        </w:tc>
        <w:tc>
          <w:tcPr>
            <w:tcW w:w="17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96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0" w:type="dxa"/>
          <w:trHeight w:val="444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人代会议、代表视察等工作经费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济宁市人大常委会办公室</w:t>
            </w:r>
          </w:p>
        </w:tc>
        <w:tc>
          <w:tcPr>
            <w:tcW w:w="17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0" w:type="dxa"/>
          <w:trHeight w:val="444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预算监督平台建设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济宁市人大常委会办公室</w:t>
            </w:r>
          </w:p>
        </w:tc>
        <w:tc>
          <w:tcPr>
            <w:tcW w:w="17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78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80" w:type="dxa"/>
          <w:trHeight w:val="378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5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上年结转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济宁市人大常委会办公室</w:t>
            </w:r>
          </w:p>
        </w:tc>
        <w:tc>
          <w:tcPr>
            <w:tcW w:w="17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92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优</w:t>
            </w:r>
          </w:p>
        </w:tc>
      </w:tr>
    </w:tbl>
    <w:p>
      <w:pPr>
        <w:tabs>
          <w:tab w:val="left" w:pos="5891"/>
        </w:tabs>
        <w:spacing w:line="580" w:lineRule="exact"/>
        <w:rPr>
          <w:rFonts w:ascii="黑体" w:hAnsi="黑体" w:eastAsia="黑体" w:cs="黑体"/>
          <w:szCs w:val="32"/>
        </w:rPr>
      </w:pPr>
    </w:p>
    <w:p>
      <w:pPr>
        <w:tabs>
          <w:tab w:val="left" w:pos="5891"/>
        </w:tabs>
        <w:spacing w:line="580" w:lineRule="exact"/>
        <w:rPr>
          <w:rFonts w:ascii="黑体" w:hAnsi="黑体" w:eastAsia="黑体" w:cs="黑体"/>
          <w:szCs w:val="32"/>
        </w:rPr>
      </w:pPr>
    </w:p>
    <w:p>
      <w:pPr>
        <w:tabs>
          <w:tab w:val="left" w:pos="5891"/>
        </w:tabs>
        <w:spacing w:line="580" w:lineRule="exact"/>
        <w:rPr>
          <w:rFonts w:ascii="黑体" w:hAnsi="黑体" w:eastAsia="黑体" w:cs="黑体"/>
          <w:szCs w:val="32"/>
        </w:rPr>
        <w:sectPr>
          <w:pgSz w:w="16838" w:h="11906" w:orient="landscape"/>
          <w:pgMar w:top="1531" w:right="2098" w:bottom="1417" w:left="187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9" w:charSpace="0"/>
        </w:sectPr>
      </w:pPr>
    </w:p>
    <w:tbl>
      <w:tblPr>
        <w:tblStyle w:val="11"/>
        <w:tblW w:w="104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823"/>
        <w:gridCol w:w="1475"/>
        <w:gridCol w:w="319"/>
        <w:gridCol w:w="2127"/>
        <w:gridCol w:w="278"/>
        <w:gridCol w:w="850"/>
        <w:gridCol w:w="770"/>
        <w:gridCol w:w="566"/>
        <w:gridCol w:w="284"/>
        <w:gridCol w:w="343"/>
        <w:gridCol w:w="407"/>
        <w:gridCol w:w="225"/>
        <w:gridCol w:w="14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0400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市级预算项目支出绩效自评表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  <w:jc w:val="center"/>
        </w:trPr>
        <w:tc>
          <w:tcPr>
            <w:tcW w:w="10400" w:type="dxa"/>
            <w:gridSpan w:val="14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（2019年度）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  <w:jc w:val="center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  <w:jc w:val="center"/>
        </w:trPr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县市区人大专项补助经费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济宁市人大常委会办公室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项目预算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执行情况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（10分）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单位万元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执行数</w:t>
            </w:r>
          </w:p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执行率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其中：当年财政拨款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上年结转资金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年初预期目标</w:t>
            </w:r>
          </w:p>
        </w:tc>
        <w:tc>
          <w:tcPr>
            <w:tcW w:w="40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目标实际完成情况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6" w:hRule="atLeast"/>
          <w:jc w:val="center"/>
        </w:trPr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通过专项转移支付，提高县市区人大承接任务的积极性、主动性，提高地方服务质量，推动县市区人大工作发展</w:t>
            </w:r>
          </w:p>
        </w:tc>
        <w:tc>
          <w:tcPr>
            <w:tcW w:w="40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通过转移支付，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确实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推动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县市区人大工作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实际完成指标值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46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8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（50分）</w:t>
            </w:r>
          </w:p>
        </w:tc>
        <w:tc>
          <w:tcPr>
            <w:tcW w:w="14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县市区人大承接任务数量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调研、视察、接访、会议等任务质量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资金拨付到位情况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效益指标（30分）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通过调研、视察、接访、会议等任务推动当地经济发展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良好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0分）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县市区人大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≥95%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EDCC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  <w:jc w:val="center"/>
        </w:trPr>
        <w:tc>
          <w:tcPr>
            <w:tcW w:w="12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91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96</w:t>
            </w:r>
          </w:p>
        </w:tc>
      </w:tr>
    </w:tbl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tbl>
      <w:tblPr>
        <w:tblStyle w:val="11"/>
        <w:tblW w:w="104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104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市级预算项目支出绩效自评表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  <w:jc w:val="center"/>
        </w:trPr>
        <w:tc>
          <w:tcPr>
            <w:tcW w:w="104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（2019年度）</w:t>
            </w:r>
          </w:p>
        </w:tc>
      </w:tr>
    </w:tbl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tbl>
      <w:tblPr>
        <w:tblStyle w:val="11"/>
        <w:tblW w:w="852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608"/>
        <w:gridCol w:w="424"/>
        <w:gridCol w:w="468"/>
        <w:gridCol w:w="1347"/>
        <w:gridCol w:w="1236"/>
        <w:gridCol w:w="1066"/>
        <w:gridCol w:w="835"/>
        <w:gridCol w:w="981"/>
        <w:gridCol w:w="1157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人代会议、代表视察等工作经费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济宁市人民代表大会常务委员会办公室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济宁市人大办公室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2348161、2967236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项目预算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执行情况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（10分） 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项目资金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（万元） 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全年预算数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（A） 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全年执行数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（B） 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执行率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（B/A)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533.1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533.1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508.5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当年拨款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533.1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533.1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508.5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95.38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年度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 </w:t>
            </w:r>
          </w:p>
        </w:tc>
        <w:tc>
          <w:tcPr>
            <w:tcW w:w="3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切实保障代表充分合法履职，通过议案解决社会问题，监督职能机构权利运行，人事任免，合理立法，对重大事项进行及时有效决议；发现问题，找到办法，形成高质量议案或调研报告，提交人大会审议</w:t>
            </w:r>
          </w:p>
        </w:tc>
        <w:tc>
          <w:tcPr>
            <w:tcW w:w="4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实服务主任会、常委会、人代会，保障代表充分合法履职，通过议案解决社会问题，监督职能机构权利运行，人事任免，合理立法，对重大事项进行及时有效决议；发现问题，找到办法，形成高质量议案或调研报告，提交人大会审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绩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一级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 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（50分） </w:t>
            </w:r>
          </w:p>
        </w:tc>
        <w:tc>
          <w:tcPr>
            <w:tcW w:w="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人大会、常委会、主任会、专题会等会议次数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人大各专委会所属代表形成调研报告或议案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流程严谨、内容充实、富有成效、有针对性、具有法定效力会议次数百分比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调研或议案质量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富有针对性，可操作性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人大会、常委会、主任会、专题会等会议及时完成情况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及时完成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发现问题、解决问题的时效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及时解决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508.5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益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（30分） 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以议案、决议、任免，促发展、保民生，维持社会稳定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高质量促进经济发展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社会问题解决情况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同比增长15%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同比增长15%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以议案、决议、任免，促发展、保民生，促进圣生态可持续发展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以议案、决议、任免，促发展、保民生，促进圣生态可持续发展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促进社会发展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促进可持续发展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（10分 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围绕中心，依法履职，服务人民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人民满意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tbl>
      <w:tblPr>
        <w:tblStyle w:val="11"/>
        <w:tblW w:w="1049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"/>
        <w:gridCol w:w="310"/>
        <w:gridCol w:w="620"/>
        <w:gridCol w:w="430"/>
        <w:gridCol w:w="486"/>
        <w:gridCol w:w="1895"/>
        <w:gridCol w:w="725"/>
        <w:gridCol w:w="736"/>
        <w:gridCol w:w="656"/>
        <w:gridCol w:w="755"/>
        <w:gridCol w:w="1816"/>
        <w:gridCol w:w="197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39" w:hRule="atLeast"/>
          <w:jc w:val="center"/>
        </w:trPr>
        <w:tc>
          <w:tcPr>
            <w:tcW w:w="10400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市级预算项目支出绩效自评表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177" w:hRule="atLeast"/>
          <w:jc w:val="center"/>
        </w:trPr>
        <w:tc>
          <w:tcPr>
            <w:tcW w:w="10400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（2019年度）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预算监督平台建设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济宁市人民代表大会常委委员会办公室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预算工作委员会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2966099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510" w:hRule="atLeast"/>
          <w:jc w:val="center"/>
        </w:trPr>
        <w:tc>
          <w:tcPr>
            <w:tcW w:w="10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项目预算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执行情况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（10分） 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项目资金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（万元） 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全年预算数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（A） 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全年执行数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（B） 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执行率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（B/A)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67.38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当年拨款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67.38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33.69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0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年度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 </w:t>
            </w: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0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一年内完成预算监督平台建设</w:t>
            </w:r>
          </w:p>
        </w:tc>
        <w:tc>
          <w:tcPr>
            <w:tcW w:w="39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未进行项目建设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600" w:hRule="atLeast"/>
          <w:jc w:val="center"/>
        </w:trPr>
        <w:tc>
          <w:tcPr>
            <w:tcW w:w="40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绩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一级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 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（50分） 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平台建设各项设施设备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1套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高质量完成平台建设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高质量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最短时间完成平台建设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低成本完成平台建设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低成本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益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（30分） 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平台的建设，有利于使用信息化手段对预算单位预算执行情况进行有效监督，可有效提高财政资金使用效率，促进经济发展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高质量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平台的建设，有利于使用信息化手段对预算单位预算执行情况进行有效监督，可有效提高财政资金使用效率，促进社会发展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高质量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平台的建设，有利于使用信息化手段对预算单位预算执行情况进行有效监督，可有效提高财政资金使用效率，促进生态发展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高质量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平台的建设，有利于使用信息化手段对预算单位预算执行情况进行有效监督，可有效提高财政资金使用效率，促进可持续发展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高质量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指标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（10分 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平台的建设，有利于使用信息化手段对预算单位预算执行情况进行有效监督，可有效提高财政资金使用效率，更好的服务三会，服务人民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2018年度预算联网监督平台进行了初步建设，尽可能发挥初步平台的效能，2019年度未进行建设，计划搬迁新办公区后进行建设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0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tbl>
      <w:tblPr>
        <w:tblStyle w:val="11"/>
        <w:tblW w:w="1049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"/>
        <w:gridCol w:w="338"/>
        <w:gridCol w:w="695"/>
        <w:gridCol w:w="478"/>
        <w:gridCol w:w="574"/>
        <w:gridCol w:w="2195"/>
        <w:gridCol w:w="901"/>
        <w:gridCol w:w="920"/>
        <w:gridCol w:w="706"/>
        <w:gridCol w:w="823"/>
        <w:gridCol w:w="799"/>
        <w:gridCol w:w="197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39" w:hRule="atLeast"/>
          <w:jc w:val="center"/>
        </w:trPr>
        <w:tc>
          <w:tcPr>
            <w:tcW w:w="10400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市级预算项目支出绩效自评表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177" w:hRule="atLeast"/>
          <w:jc w:val="center"/>
        </w:trPr>
        <w:tc>
          <w:tcPr>
            <w:tcW w:w="10400" w:type="dxa"/>
            <w:gridSpan w:val="11"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  <w:t>（2019年度）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济宁市人民代表大会常务委员会办公室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济宁市人大办公室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2348161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866" w:hRule="atLeast"/>
          <w:jc w:val="center"/>
        </w:trPr>
        <w:tc>
          <w:tcPr>
            <w:tcW w:w="1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项目预算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执行情况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（10分） 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项目资金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（万元） 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全年预算数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（A） 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全年执行数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（B） 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执行率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（B/A) 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155.83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当年拨款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155.83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总体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目标 </w:t>
            </w: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11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一年内完成人大会议、代表工作、机关日常运转等活动</w:t>
            </w:r>
          </w:p>
        </w:tc>
        <w:tc>
          <w:tcPr>
            <w:tcW w:w="3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完成人大会议、代表工作、机关日常运转等活动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600" w:hRule="atLeast"/>
          <w:jc w:val="center"/>
        </w:trPr>
        <w:tc>
          <w:tcPr>
            <w:tcW w:w="43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绩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 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指标 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产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出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（50分） 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三会、代表工作及机关日常运行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高质量完成三会服务、人大代表工作及机关日常顺利运行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及时完成三会服务、人大代表工作及机关日常顺利运行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尽可能低成本的完成三会服务、人大代表工作及机关日常顺利运行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194.63万元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益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（30分） 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通过完成三会服务、人大代表工作及机关日常顺利运行，促进经济发展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通过完成三会服务、人大代表工作及机关日常顺利运行，促进社会发展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通过完成三会服务、人大代表工作及机关日常顺利运行，促进生态发展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通过完成三会服务、人大代表工作及机关日常顺利运行，促进可持续发展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满意度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指标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（10分 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通过完成三会服务、人大代表工作及机关日常顺利运行，服务三会、服务机关、服务人民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达成预期指标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1" w:type="dxa"/>
          <w:trHeight w:val="375" w:hRule="atLeast"/>
          <w:jc w:val="center"/>
        </w:trPr>
        <w:tc>
          <w:tcPr>
            <w:tcW w:w="4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overflowPunct w:val="0"/>
        <w:adjustRightInd w:val="0"/>
        <w:snapToGrid w:val="0"/>
        <w:spacing w:line="580" w:lineRule="exact"/>
        <w:outlineLvl w:val="0"/>
        <w:rPr>
          <w:rFonts w:hint="eastAsia" w:ascii="方正小标宋简体" w:eastAsia="方正小标宋简体"/>
          <w:sz w:val="44"/>
          <w:szCs w:val="44"/>
          <w:highlight w:val="yellow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DF"/>
    <w:rsid w:val="000664A0"/>
    <w:rsid w:val="000E51B6"/>
    <w:rsid w:val="00204733"/>
    <w:rsid w:val="00222B81"/>
    <w:rsid w:val="00250168"/>
    <w:rsid w:val="00271041"/>
    <w:rsid w:val="004B49A5"/>
    <w:rsid w:val="00566FAE"/>
    <w:rsid w:val="006C32DF"/>
    <w:rsid w:val="00730BD3"/>
    <w:rsid w:val="007D254B"/>
    <w:rsid w:val="008736D7"/>
    <w:rsid w:val="008A55C0"/>
    <w:rsid w:val="009D589D"/>
    <w:rsid w:val="00E02D0D"/>
    <w:rsid w:val="00E10AB2"/>
    <w:rsid w:val="00E52047"/>
    <w:rsid w:val="00EF0645"/>
    <w:rsid w:val="00FD3153"/>
    <w:rsid w:val="04D24B1E"/>
    <w:rsid w:val="04F72664"/>
    <w:rsid w:val="07881B28"/>
    <w:rsid w:val="083C7403"/>
    <w:rsid w:val="08B31537"/>
    <w:rsid w:val="08B45174"/>
    <w:rsid w:val="08CD11FB"/>
    <w:rsid w:val="08EB7F01"/>
    <w:rsid w:val="092A19AD"/>
    <w:rsid w:val="0A547364"/>
    <w:rsid w:val="0A590D2D"/>
    <w:rsid w:val="0A6F78EE"/>
    <w:rsid w:val="0B22099C"/>
    <w:rsid w:val="0B584690"/>
    <w:rsid w:val="0BB524D7"/>
    <w:rsid w:val="0BD97CF9"/>
    <w:rsid w:val="0C816521"/>
    <w:rsid w:val="0CE20CEA"/>
    <w:rsid w:val="0E3B5BFF"/>
    <w:rsid w:val="0E3C4F8B"/>
    <w:rsid w:val="0F2F1AFC"/>
    <w:rsid w:val="106B7AB8"/>
    <w:rsid w:val="10D01C78"/>
    <w:rsid w:val="118A2AD1"/>
    <w:rsid w:val="11D37A07"/>
    <w:rsid w:val="121B3BF8"/>
    <w:rsid w:val="12637F19"/>
    <w:rsid w:val="133F5F8B"/>
    <w:rsid w:val="13D348B7"/>
    <w:rsid w:val="15792023"/>
    <w:rsid w:val="1594129C"/>
    <w:rsid w:val="15B867E9"/>
    <w:rsid w:val="166D792C"/>
    <w:rsid w:val="16C44D3B"/>
    <w:rsid w:val="171643DB"/>
    <w:rsid w:val="171C645D"/>
    <w:rsid w:val="17F24D5D"/>
    <w:rsid w:val="17F43C4C"/>
    <w:rsid w:val="184F2136"/>
    <w:rsid w:val="18C92B8A"/>
    <w:rsid w:val="19B31DE9"/>
    <w:rsid w:val="1A363FEA"/>
    <w:rsid w:val="1A3A09DE"/>
    <w:rsid w:val="1B477441"/>
    <w:rsid w:val="1D3D44AF"/>
    <w:rsid w:val="1DCF140E"/>
    <w:rsid w:val="1F0B6B7B"/>
    <w:rsid w:val="1F1A5F61"/>
    <w:rsid w:val="20213A2A"/>
    <w:rsid w:val="21353C12"/>
    <w:rsid w:val="216E72B2"/>
    <w:rsid w:val="21D20DE3"/>
    <w:rsid w:val="220F61F3"/>
    <w:rsid w:val="228B1448"/>
    <w:rsid w:val="2304383B"/>
    <w:rsid w:val="24016207"/>
    <w:rsid w:val="24E972F9"/>
    <w:rsid w:val="255A62E6"/>
    <w:rsid w:val="255D58B9"/>
    <w:rsid w:val="25BE3700"/>
    <w:rsid w:val="25C6779A"/>
    <w:rsid w:val="260F3F3E"/>
    <w:rsid w:val="263A4F32"/>
    <w:rsid w:val="26BD0A96"/>
    <w:rsid w:val="26F65B45"/>
    <w:rsid w:val="27011D69"/>
    <w:rsid w:val="27074B21"/>
    <w:rsid w:val="274F62AA"/>
    <w:rsid w:val="282D0FDD"/>
    <w:rsid w:val="28365ACF"/>
    <w:rsid w:val="289C6AA5"/>
    <w:rsid w:val="28D25890"/>
    <w:rsid w:val="293C7E1F"/>
    <w:rsid w:val="298E6935"/>
    <w:rsid w:val="29AB2326"/>
    <w:rsid w:val="2B5D3762"/>
    <w:rsid w:val="2BDF516B"/>
    <w:rsid w:val="2BFC141F"/>
    <w:rsid w:val="2C4B2598"/>
    <w:rsid w:val="2C7333EC"/>
    <w:rsid w:val="2C7E74F4"/>
    <w:rsid w:val="2CBE7DCB"/>
    <w:rsid w:val="2D8D2262"/>
    <w:rsid w:val="2E106E88"/>
    <w:rsid w:val="2F13285C"/>
    <w:rsid w:val="2F5E1E03"/>
    <w:rsid w:val="2FEB734F"/>
    <w:rsid w:val="306B2104"/>
    <w:rsid w:val="30CE7B35"/>
    <w:rsid w:val="31D91746"/>
    <w:rsid w:val="31F2152F"/>
    <w:rsid w:val="32352A56"/>
    <w:rsid w:val="325E40BD"/>
    <w:rsid w:val="32627BB9"/>
    <w:rsid w:val="331666D6"/>
    <w:rsid w:val="33AA5CE7"/>
    <w:rsid w:val="346413BF"/>
    <w:rsid w:val="34BD76F5"/>
    <w:rsid w:val="34CB57AE"/>
    <w:rsid w:val="34DF5CE5"/>
    <w:rsid w:val="36732419"/>
    <w:rsid w:val="370E76FD"/>
    <w:rsid w:val="37940738"/>
    <w:rsid w:val="37DD4771"/>
    <w:rsid w:val="38502870"/>
    <w:rsid w:val="385C4AB6"/>
    <w:rsid w:val="38E04B1F"/>
    <w:rsid w:val="3AC348A4"/>
    <w:rsid w:val="3CC36083"/>
    <w:rsid w:val="3CDE1BA7"/>
    <w:rsid w:val="3DD4580D"/>
    <w:rsid w:val="3F0023C6"/>
    <w:rsid w:val="416349FA"/>
    <w:rsid w:val="41D6743B"/>
    <w:rsid w:val="421A24DA"/>
    <w:rsid w:val="43FE3A49"/>
    <w:rsid w:val="4418551F"/>
    <w:rsid w:val="44345DFC"/>
    <w:rsid w:val="44762FAA"/>
    <w:rsid w:val="449E7C74"/>
    <w:rsid w:val="44A94079"/>
    <w:rsid w:val="45343677"/>
    <w:rsid w:val="45ED5285"/>
    <w:rsid w:val="46015A84"/>
    <w:rsid w:val="46500FFB"/>
    <w:rsid w:val="46C300F9"/>
    <w:rsid w:val="46F0426B"/>
    <w:rsid w:val="47D96914"/>
    <w:rsid w:val="48CE5927"/>
    <w:rsid w:val="49E21DAD"/>
    <w:rsid w:val="4A006FB5"/>
    <w:rsid w:val="4ABF02F7"/>
    <w:rsid w:val="4B1D1478"/>
    <w:rsid w:val="4B213583"/>
    <w:rsid w:val="4B2C3C78"/>
    <w:rsid w:val="4B824521"/>
    <w:rsid w:val="4BC83DC8"/>
    <w:rsid w:val="4D216247"/>
    <w:rsid w:val="4D3C2FEA"/>
    <w:rsid w:val="4DF35D70"/>
    <w:rsid w:val="4E396197"/>
    <w:rsid w:val="4F5C349E"/>
    <w:rsid w:val="4FAE74E2"/>
    <w:rsid w:val="504E74ED"/>
    <w:rsid w:val="506F3610"/>
    <w:rsid w:val="50885A04"/>
    <w:rsid w:val="50992A5C"/>
    <w:rsid w:val="509E348A"/>
    <w:rsid w:val="517125C2"/>
    <w:rsid w:val="51890601"/>
    <w:rsid w:val="51CA58E1"/>
    <w:rsid w:val="53907242"/>
    <w:rsid w:val="53973C7A"/>
    <w:rsid w:val="53E52AB9"/>
    <w:rsid w:val="547A5396"/>
    <w:rsid w:val="54E72AA5"/>
    <w:rsid w:val="55036FA9"/>
    <w:rsid w:val="554B7A33"/>
    <w:rsid w:val="558B0983"/>
    <w:rsid w:val="55ED165A"/>
    <w:rsid w:val="56511BFC"/>
    <w:rsid w:val="56904002"/>
    <w:rsid w:val="58D06054"/>
    <w:rsid w:val="5937258B"/>
    <w:rsid w:val="5B0404D5"/>
    <w:rsid w:val="5B2F0525"/>
    <w:rsid w:val="5B346107"/>
    <w:rsid w:val="5C96268F"/>
    <w:rsid w:val="5CA9623E"/>
    <w:rsid w:val="5D1D348B"/>
    <w:rsid w:val="5D9C7937"/>
    <w:rsid w:val="5DBD5F15"/>
    <w:rsid w:val="5DE7069A"/>
    <w:rsid w:val="5E0B4382"/>
    <w:rsid w:val="5EFD3235"/>
    <w:rsid w:val="5F0553A1"/>
    <w:rsid w:val="5F640ECA"/>
    <w:rsid w:val="5F7153F8"/>
    <w:rsid w:val="5F913BA1"/>
    <w:rsid w:val="5FC87FE5"/>
    <w:rsid w:val="60AA3A93"/>
    <w:rsid w:val="60C56143"/>
    <w:rsid w:val="60CB0E03"/>
    <w:rsid w:val="618A3CDA"/>
    <w:rsid w:val="61D274EF"/>
    <w:rsid w:val="635853DD"/>
    <w:rsid w:val="63D55E41"/>
    <w:rsid w:val="63F046D2"/>
    <w:rsid w:val="64DD3747"/>
    <w:rsid w:val="64ED12D2"/>
    <w:rsid w:val="65462385"/>
    <w:rsid w:val="66583B0A"/>
    <w:rsid w:val="669362A5"/>
    <w:rsid w:val="67A07F79"/>
    <w:rsid w:val="67B44856"/>
    <w:rsid w:val="67F01315"/>
    <w:rsid w:val="687C23BE"/>
    <w:rsid w:val="687D461D"/>
    <w:rsid w:val="691041EB"/>
    <w:rsid w:val="6A0B2E2D"/>
    <w:rsid w:val="6A230015"/>
    <w:rsid w:val="6A715B07"/>
    <w:rsid w:val="6A86367E"/>
    <w:rsid w:val="6AB734AA"/>
    <w:rsid w:val="6B7C0516"/>
    <w:rsid w:val="6DE534EF"/>
    <w:rsid w:val="6E4B6859"/>
    <w:rsid w:val="6E7D2A17"/>
    <w:rsid w:val="6EE301D2"/>
    <w:rsid w:val="6FD72020"/>
    <w:rsid w:val="70C97D83"/>
    <w:rsid w:val="71265142"/>
    <w:rsid w:val="712D7CD9"/>
    <w:rsid w:val="718D5D58"/>
    <w:rsid w:val="71BA240A"/>
    <w:rsid w:val="72D91B7D"/>
    <w:rsid w:val="731F3F55"/>
    <w:rsid w:val="734B59D9"/>
    <w:rsid w:val="738357A1"/>
    <w:rsid w:val="73A21063"/>
    <w:rsid w:val="749C4DEF"/>
    <w:rsid w:val="75F90A00"/>
    <w:rsid w:val="76970A5C"/>
    <w:rsid w:val="775C37FE"/>
    <w:rsid w:val="77A01CC9"/>
    <w:rsid w:val="7812337F"/>
    <w:rsid w:val="7A48583E"/>
    <w:rsid w:val="7A513245"/>
    <w:rsid w:val="7AAC5169"/>
    <w:rsid w:val="7B615A52"/>
    <w:rsid w:val="7B8B7137"/>
    <w:rsid w:val="7C3E3DD6"/>
    <w:rsid w:val="7CF67013"/>
    <w:rsid w:val="7D7D1CD2"/>
    <w:rsid w:val="7D873575"/>
    <w:rsid w:val="7D8B58FD"/>
    <w:rsid w:val="7DAA2ED2"/>
    <w:rsid w:val="7DE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7"/>
    <w:qFormat/>
    <w:uiPriority w:val="0"/>
    <w:pPr>
      <w:ind w:firstLine="640" w:firstLineChars="200"/>
    </w:pPr>
    <w:rPr>
      <w:rFonts w:ascii="楷体_GB2312" w:hAnsi="Courier New" w:eastAsia="楷体_GB2312"/>
      <w:sz w:val="32"/>
    </w:rPr>
  </w:style>
  <w:style w:type="paragraph" w:styleId="5">
    <w:name w:val="Balloon Text"/>
    <w:basedOn w:val="1"/>
    <w:link w:val="3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sz w:val="18"/>
      <w:szCs w:val="18"/>
    </w:rPr>
  </w:style>
  <w:style w:type="character" w:customStyle="1" w:styleId="17">
    <w:name w:val="日期 Char"/>
    <w:basedOn w:val="12"/>
    <w:link w:val="3"/>
    <w:semiHidden/>
    <w:qFormat/>
    <w:uiPriority w:val="99"/>
  </w:style>
  <w:style w:type="character" w:customStyle="1" w:styleId="18">
    <w:name w:val="样式 仿宋 三号 Char"/>
    <w:qFormat/>
    <w:uiPriority w:val="0"/>
    <w:rPr>
      <w:rFonts w:ascii="仿宋" w:hAnsi="仿宋" w:eastAsia="仿宋" w:cs="宋体"/>
      <w:kern w:val="2"/>
      <w:sz w:val="32"/>
      <w:lang w:val="en-US" w:eastAsia="zh-CN" w:bidi="ar-SA"/>
    </w:rPr>
  </w:style>
  <w:style w:type="character" w:customStyle="1" w:styleId="19">
    <w:name w:val="p0[858D7CFB-ED40-4347-BF05-701D383B685F]"/>
    <w:link w:val="20"/>
    <w:qFormat/>
    <w:uiPriority w:val="0"/>
    <w:rPr>
      <w:szCs w:val="21"/>
    </w:rPr>
  </w:style>
  <w:style w:type="paragraph" w:customStyle="1" w:styleId="20">
    <w:name w:val="p0"/>
    <w:basedOn w:val="1"/>
    <w:link w:val="19"/>
    <w:qFormat/>
    <w:uiPriority w:val="0"/>
    <w:pPr>
      <w:widowControl/>
    </w:pPr>
    <w:rPr>
      <w:szCs w:val="21"/>
    </w:rPr>
  </w:style>
  <w:style w:type="character" w:customStyle="1" w:styleId="21">
    <w:name w:val="页码1"/>
    <w:basedOn w:val="12"/>
    <w:qFormat/>
    <w:uiPriority w:val="0"/>
  </w:style>
  <w:style w:type="character" w:customStyle="1" w:styleId="22">
    <w:name w:val="标题 Char"/>
    <w:link w:val="10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3">
    <w:name w:val="文档结构图 Char"/>
    <w:link w:val="2"/>
    <w:qFormat/>
    <w:uiPriority w:val="0"/>
    <w:rPr>
      <w:rFonts w:ascii="宋体"/>
      <w:sz w:val="18"/>
      <w:szCs w:val="18"/>
    </w:rPr>
  </w:style>
  <w:style w:type="character" w:customStyle="1" w:styleId="24">
    <w:name w:val="副标题 Char"/>
    <w:link w:val="8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25">
    <w:name w:val="正文文本缩进 2 Char"/>
    <w:link w:val="4"/>
    <w:qFormat/>
    <w:uiPriority w:val="0"/>
    <w:rPr>
      <w:rFonts w:ascii="楷体_GB2312" w:hAnsi="Courier New" w:eastAsia="楷体_GB2312"/>
      <w:sz w:val="32"/>
    </w:rPr>
  </w:style>
  <w:style w:type="character" w:customStyle="1" w:styleId="26">
    <w:name w:val="文档结构图 Char1"/>
    <w:basedOn w:val="12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27">
    <w:name w:val="正文文本缩进 2 Char1"/>
    <w:basedOn w:val="12"/>
    <w:link w:val="4"/>
    <w:semiHidden/>
    <w:qFormat/>
    <w:uiPriority w:val="99"/>
  </w:style>
  <w:style w:type="character" w:customStyle="1" w:styleId="28">
    <w:name w:val="标题 Char1"/>
    <w:basedOn w:val="12"/>
    <w:link w:val="1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副标题 Char1"/>
    <w:basedOn w:val="12"/>
    <w:link w:val="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0">
    <w:name w:val="批注框文本 Char"/>
    <w:basedOn w:val="12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Char Char Char Char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customStyle="1" w:styleId="32">
    <w:name w:val="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sz w:val="32"/>
      <w:szCs w:val="24"/>
    </w:rPr>
  </w:style>
  <w:style w:type="paragraph" w:customStyle="1" w:styleId="33">
    <w:name w:val="p17"/>
    <w:basedOn w:val="1"/>
    <w:qFormat/>
    <w:uiPriority w:val="0"/>
    <w:pPr>
      <w:widowControl/>
    </w:pPr>
    <w:rPr>
      <w:rFonts w:ascii="宋体" w:hAnsi="宋体" w:eastAsia="宋体" w:cs="宋体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40</Pages>
  <Words>2416</Words>
  <Characters>13774</Characters>
  <Lines>114</Lines>
  <Paragraphs>32</Paragraphs>
  <TotalTime>16</TotalTime>
  <ScaleCrop>false</ScaleCrop>
  <LinksUpToDate>false</LinksUpToDate>
  <CharactersWithSpaces>16158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2020-09-22T08:20:00Z</dcterms:created>
  <dc:creator>Administrator</dc:creator>
  <cp:lastModifiedBy>楠茜</cp:lastModifiedBy>
  <cp:lastPrinted>2021-05-18T08:38:00Z</cp:lastPrinted>
  <dcterms:modified xsi:type="dcterms:W3CDTF">2021-05-21T04:06:50Z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B1A2225EB5484684B56B5FA4780F0480</vt:lpwstr>
  </property>
</Properties>
</file>